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Arial" w:cs="Arial" w:eastAsia="Arial" w:hAnsi="Arial"/>
          <w:b/>
          <w:bCs/>
          <w:color w:val="003060"/>
          <w:sz w:val="22"/>
          <w:szCs w:val="22"/>
        </w:rPr>
        <w:t xml:space="preserve">RiskTAE</w:t>
      </w:r>
      <w:r>
        <w:rPr>
          <w:rFonts w:ascii="Arial" w:cs="Arial" w:eastAsia="Arial" w:hAnsi="Arial"/>
          <w:color w:val="5A6B7B"/>
          <w:sz w:val="20"/>
          <w:szCs w:val="20"/>
        </w:rPr>
        <w:t xml:space="preserve">   Risk Talent template</w:t>
      </w:r>
    </w:p>
    <w:p>
      <w:pPr>
        <w:pStyle w:val="Title"/>
        <w:spacing w:after="120"/>
      </w:pPr>
      <w:r>
        <w:rPr>
          <w:rFonts w:ascii="Arial" w:cs="Arial" w:eastAsia="Arial" w:hAnsi="Arial"/>
          <w:b/>
          <w:bCs/>
          <w:color w:val="003060"/>
          <w:sz w:val="40"/>
          <w:szCs w:val="40"/>
        </w:rPr>
        <w:t xml:space="preserve">Chief risk officer job description (SMF4)</w:t>
      </w:r>
    </w:p>
    <w:p>
      <w:pPr>
        <w:spacing w:after="120" w:before="0"/>
      </w:pPr>
      <w:r>
        <w:rPr>
          <w:rFonts w:ascii="Arial" w:cs="Arial" w:eastAsia="Arial" w:hAnsi="Arial"/>
          <w:color w:val="5A6B7B"/>
          <w:sz w:val="21"/>
          <w:szCs w:val="21"/>
        </w:rPr>
        <w:t xml:space="preserve">A template for UK banks and building societies. Complete the fields in grey square brackets and delete any row that does not apply. Keep the wording of each prescribed responsibility identical to the statement of responsibilities that goes to the PRA with the SMF4 application.</w:t>
      </w:r>
    </w:p>
    <w:p>
      <w:pPr>
        <w:pStyle w:val="Heading1"/>
        <w:spacing w:after="120" w:before="280"/>
      </w:pPr>
      <w:r>
        <w:rPr>
          <w:rFonts w:ascii="Arial" w:cs="Arial" w:eastAsia="Arial" w:hAnsi="Arial"/>
          <w:b/>
          <w:bCs/>
          <w:color w:val="003060"/>
          <w:sz w:val="30"/>
          <w:szCs w:val="30"/>
        </w:rPr>
        <w:t xml:space="preserve">1. The role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Role title</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Chief Risk Officer</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Regulated function</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Chief Risk function (SMF4). The person may perform it only once the PRA has approved them, unless the 12-week rule in Senior Management Functions rule 2.3 applies; that rule covers temporary cover by an employee of the firm.</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Firm</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[Firm name]</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Location</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[Office location and any hybrid working pattern]</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Reports to</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[Board and chair of the risk committee]</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Day-to-day line, if any</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[For example the chief executive, and which line sets objectives]</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Basis</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[Permanent, interim or fractional]</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Days a week (part-time roles)</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[Days, and availability between them]</w:t>
            </w:r>
          </w:p>
        </w:tc>
      </w:tr>
      <w:tr>
        <w:tc>
          <w:tcPr>
            <w:tcW w:type="dxa" w:w="3000"/>
            <w:tcBorders>
              <w:top w:val="single" w:color="B8C4D0" w:sz="4"/>
              <w:left w:val="single" w:color="B8C4D0" w:sz="4"/>
              <w:bottom w:val="single" w:color="B8C4D0" w:sz="4"/>
              <w:right w:val="single" w:color="B8C4D0" w:sz="4"/>
            </w:tcBorders>
            <w:shd w:fill="EEF2F6" w:color="auto" w:val="clear"/>
            <w:tcMar>
              <w:top w:type="dxa" w:w="80"/>
              <w:left w:type="dxa" w:w="110"/>
              <w:bottom w:type="dxa" w:w="80"/>
              <w:right w:type="dxa" w:w="110"/>
            </w:tcMar>
          </w:tcPr>
          <w:p>
            <w:pPr>
              <w:spacing w:after="40"/>
            </w:pPr>
            <w:r>
              <w:rPr>
                <w:rFonts w:ascii="Arial" w:cs="Arial" w:eastAsia="Arial" w:hAnsi="Arial"/>
                <w:b/>
                <w:bCs/>
                <w:sz w:val="19"/>
                <w:szCs w:val="19"/>
              </w:rPr>
              <w:t xml:space="preserve">Direct reports</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[Heads of risk who report to the CRO]</w:t>
            </w:r>
          </w:p>
        </w:tc>
      </w:tr>
    </w:tbl>
    <w:p>
      <w:pPr>
        <w:pStyle w:val="Heading1"/>
        <w:spacing w:after="120" w:before="280"/>
      </w:pPr>
      <w:r>
        <w:rPr>
          <w:rFonts w:ascii="Arial" w:cs="Arial" w:eastAsia="Arial" w:hAnsi="Arial"/>
          <w:b/>
          <w:bCs/>
          <w:color w:val="003060"/>
          <w:sz w:val="30"/>
          <w:szCs w:val="30"/>
        </w:rPr>
        <w:t xml:space="preserve">2. About the firm</w:t>
      </w:r>
    </w:p>
    <w:p>
      <w:pPr>
        <w:spacing w:after="120" w:before="0"/>
      </w:pPr>
      <w:r>
        <w:rPr>
          <w:rFonts w:ascii="Arial" w:cs="Arial" w:eastAsia="Arial" w:hAnsi="Arial"/>
          <w:color w:val="5A6B7B"/>
          <w:sz w:val="21"/>
          <w:szCs w:val="21"/>
        </w:rPr>
        <w:t xml:space="preserve">[Business model, size, regulators, strategy and the stage the firm is at. Two or three short paragraphs.]</w:t>
      </w:r>
    </w:p>
    <w:p>
      <w:pPr>
        <w:pStyle w:val="Heading1"/>
        <w:spacing w:after="120" w:before="280"/>
      </w:pPr>
      <w:r>
        <w:rPr>
          <w:rFonts w:ascii="Arial" w:cs="Arial" w:eastAsia="Arial" w:hAnsi="Arial"/>
          <w:b/>
          <w:bCs/>
          <w:color w:val="003060"/>
          <w:sz w:val="30"/>
          <w:szCs w:val="30"/>
        </w:rPr>
        <w:t xml:space="preserve">3. Purpose of the role</w:t>
      </w:r>
    </w:p>
    <w:p>
      <w:pPr>
        <w:spacing w:after="120" w:before="0"/>
      </w:pPr>
      <w:r>
        <w:rPr>
          <w:rFonts w:ascii="Arial" w:cs="Arial" w:eastAsia="Arial" w:hAnsi="Arial"/>
          <w:sz w:val="21"/>
          <w:szCs w:val="21"/>
        </w:rPr>
        <w:t xml:space="preserve">The Chief Risk Officer has responsibility for overall management of the risk controls of </w:t>
      </w:r>
      <w:r>
        <w:rPr>
          <w:rFonts w:ascii="Arial" w:cs="Arial" w:eastAsia="Arial" w:hAnsi="Arial"/>
          <w:color w:val="5A6B7B"/>
          <w:sz w:val="21"/>
          <w:szCs w:val="21"/>
        </w:rPr>
        <w:t xml:space="preserve">[firm]</w:t>
      </w:r>
      <w:r>
        <w:rPr>
          <w:rFonts w:ascii="Arial" w:cs="Arial" w:eastAsia="Arial" w:hAnsi="Arial"/>
          <w:sz w:val="21"/>
          <w:szCs w:val="21"/>
        </w:rPr>
        <w:t xml:space="preserve">, including the setting and managing of its risk exposures, and reports directly to the board in relation to its risk management arrangements.</w:t>
      </w:r>
      <w:r>
        <w:rPr>
          <w:rFonts w:ascii="Arial" w:cs="Arial" w:eastAsia="Arial" w:hAnsi="Arial"/>
          <w:color w:val="5A6B7B"/>
          <w:sz w:val="18"/>
          <w:szCs w:val="18"/>
        </w:rPr>
        <w:t xml:space="preserve"> (PRA Rulebook, Senior Management Functions 3.4)</w:t>
      </w:r>
    </w:p>
    <w:p>
      <w:pPr>
        <w:pStyle w:val="Heading1"/>
        <w:spacing w:after="120" w:before="280"/>
      </w:pPr>
      <w:r>
        <w:rPr>
          <w:rFonts w:ascii="Arial" w:cs="Arial" w:eastAsia="Arial" w:hAnsi="Arial"/>
          <w:b/>
          <w:bCs/>
          <w:color w:val="003060"/>
          <w:sz w:val="30"/>
          <w:szCs w:val="30"/>
        </w:rPr>
        <w:t xml:space="preserve">4. Reporting lines and independence</w:t>
      </w:r>
    </w:p>
    <w:p>
      <w:pPr>
        <w:pStyle w:val="ListParagraph"/>
        <w:numPr>
          <w:ilvl w:val="0"/>
          <w:numId w:val="2"/>
        </w:numPr>
        <w:spacing w:after="80"/>
      </w:pPr>
      <w:r>
        <w:rPr>
          <w:rFonts w:ascii="Arial" w:cs="Arial" w:eastAsia="Arial" w:hAnsi="Arial"/>
          <w:sz w:val="21"/>
          <w:szCs w:val="21"/>
        </w:rPr>
        <w:t xml:space="preserve">Reports directly to the board in its supervisory function and to the risk committee, independent from senior management, and can raise concerns and warn the board where risk developments affect or may affect the firm.</w:t>
      </w:r>
      <w:r>
        <w:rPr>
          <w:rFonts w:ascii="Arial" w:cs="Arial" w:eastAsia="Arial" w:hAnsi="Arial"/>
          <w:color w:val="5A6B7B"/>
          <w:sz w:val="18"/>
          <w:szCs w:val="18"/>
        </w:rPr>
        <w:t xml:space="preserve"> (Risk Control 3.4(3))</w:t>
      </w:r>
    </w:p>
    <w:p>
      <w:pPr>
        <w:pStyle w:val="ListParagraph"/>
        <w:numPr>
          <w:ilvl w:val="0"/>
          <w:numId w:val="2"/>
        </w:numPr>
        <w:spacing w:after="80"/>
      </w:pPr>
      <w:r>
        <w:rPr>
          <w:rFonts w:ascii="Arial" w:cs="Arial" w:eastAsia="Arial" w:hAnsi="Arial"/>
          <w:sz w:val="21"/>
          <w:szCs w:val="21"/>
        </w:rPr>
        <w:t xml:space="preserve">Has direct access to the board where necessary, and may meet the board or the risk committee without executive directors present.</w:t>
      </w:r>
      <w:r>
        <w:rPr>
          <w:rFonts w:ascii="Arial" w:cs="Arial" w:eastAsia="Arial" w:hAnsi="Arial"/>
          <w:color w:val="5A6B7B"/>
          <w:sz w:val="18"/>
          <w:szCs w:val="18"/>
        </w:rPr>
        <w:t xml:space="preserve"> (Risk Control 3.5; Basel Committee corporate governance principles, para 110)</w:t>
      </w:r>
    </w:p>
    <w:p>
      <w:pPr>
        <w:pStyle w:val="ListParagraph"/>
        <w:numPr>
          <w:ilvl w:val="0"/>
          <w:numId w:val="2"/>
        </w:numPr>
        <w:spacing w:after="80"/>
      </w:pPr>
      <w:r>
        <w:rPr>
          <w:rFonts w:ascii="Arial" w:cs="Arial" w:eastAsia="Arial" w:hAnsi="Arial"/>
          <w:sz w:val="21"/>
          <w:szCs w:val="21"/>
        </w:rPr>
        <w:t xml:space="preserve">Removal requires the prior approval of the board, and the board or its risk committee should approve the appointment.</w:t>
      </w:r>
      <w:r>
        <w:rPr>
          <w:rFonts w:ascii="Arial" w:cs="Arial" w:eastAsia="Arial" w:hAnsi="Arial"/>
          <w:color w:val="5A6B7B"/>
          <w:sz w:val="18"/>
          <w:szCs w:val="18"/>
        </w:rPr>
        <w:t xml:space="preserve"> (Risk Control 3.5; Basel Committee, paras 110 and 111)</w:t>
      </w:r>
    </w:p>
    <w:p>
      <w:pPr>
        <w:pStyle w:val="ListParagraph"/>
        <w:numPr>
          <w:ilvl w:val="0"/>
          <w:numId w:val="2"/>
        </w:numPr>
        <w:spacing w:after="80"/>
      </w:pPr>
      <w:r>
        <w:rPr>
          <w:rFonts w:ascii="Arial" w:cs="Arial" w:eastAsia="Arial" w:hAnsi="Arial"/>
          <w:sz w:val="21"/>
          <w:szCs w:val="21"/>
        </w:rPr>
        <w:t xml:space="preserve">Holds no management or financial responsibility for any business line or revenue-generating function.</w:t>
      </w:r>
      <w:r>
        <w:rPr>
          <w:rFonts w:ascii="Arial" w:cs="Arial" w:eastAsia="Arial" w:hAnsi="Arial"/>
          <w:color w:val="5A6B7B"/>
          <w:sz w:val="18"/>
          <w:szCs w:val="18"/>
        </w:rPr>
        <w:t xml:space="preserve"> (Basel Committee, para 110)</w:t>
      </w:r>
    </w:p>
    <w:p>
      <w:pPr>
        <w:pStyle w:val="ListParagraph"/>
        <w:numPr>
          <w:ilvl w:val="0"/>
          <w:numId w:val="2"/>
        </w:numPr>
        <w:spacing w:after="80"/>
      </w:pPr>
      <w:r>
        <w:rPr>
          <w:rFonts w:ascii="Arial" w:cs="Arial" w:eastAsia="Arial" w:hAnsi="Arial"/>
          <w:sz w:val="21"/>
          <w:szCs w:val="21"/>
        </w:rPr>
        <w:t xml:space="preserve">The chair of the risk committee safeguards the independence of, and oversees the performance of, the risk function and the CRO.</w:t>
      </w:r>
      <w:r>
        <w:rPr>
          <w:rFonts w:ascii="Arial" w:cs="Arial" w:eastAsia="Arial" w:hAnsi="Arial"/>
          <w:color w:val="5A6B7B"/>
          <w:sz w:val="18"/>
          <w:szCs w:val="18"/>
        </w:rPr>
        <w:t xml:space="preserve"> (Allocation of Responsibilities 4.1(17); SS28/15 Table F)</w:t>
      </w:r>
    </w:p>
    <w:p>
      <w:pPr>
        <w:pStyle w:val="Heading1"/>
        <w:spacing w:after="120" w:before="280"/>
      </w:pPr>
      <w:r>
        <w:rPr>
          <w:rFonts w:ascii="Arial" w:cs="Arial" w:eastAsia="Arial" w:hAnsi="Arial"/>
          <w:b/>
          <w:bCs/>
          <w:color w:val="003060"/>
          <w:sz w:val="30"/>
          <w:szCs w:val="30"/>
        </w:rPr>
        <w:t xml:space="preserve">5. Main responsibilities</w:t>
      </w:r>
    </w:p>
    <w:p>
      <w:pPr>
        <w:pStyle w:val="ListParagraph"/>
        <w:numPr>
          <w:ilvl w:val="0"/>
          <w:numId w:val="2"/>
        </w:numPr>
        <w:spacing w:after="80"/>
      </w:pPr>
      <w:r>
        <w:rPr>
          <w:rFonts w:ascii="Arial" w:cs="Arial" w:eastAsia="Arial" w:hAnsi="Arial"/>
          <w:sz w:val="21"/>
          <w:szCs w:val="21"/>
        </w:rPr>
        <w:t xml:space="preserve">Lead a risk management function that is independent from the operational functions, with sufficient authority, stature, resources and access to the board.</w:t>
      </w:r>
      <w:r>
        <w:rPr>
          <w:rFonts w:ascii="Arial" w:cs="Arial" w:eastAsia="Arial" w:hAnsi="Arial"/>
          <w:color w:val="5A6B7B"/>
          <w:sz w:val="18"/>
          <w:szCs w:val="18"/>
        </w:rPr>
        <w:t xml:space="preserve"> (Risk Control 3.4(1))</w:t>
      </w:r>
    </w:p>
    <w:p>
      <w:pPr>
        <w:pStyle w:val="ListParagraph"/>
        <w:numPr>
          <w:ilvl w:val="0"/>
          <w:numId w:val="2"/>
        </w:numPr>
        <w:spacing w:after="80"/>
      </w:pPr>
      <w:r>
        <w:rPr>
          <w:rFonts w:ascii="Arial" w:cs="Arial" w:eastAsia="Arial" w:hAnsi="Arial"/>
          <w:sz w:val="21"/>
          <w:szCs w:val="21"/>
        </w:rPr>
        <w:t xml:space="preserve">Make sure all material risks are identified, measured and properly reported.</w:t>
      </w:r>
      <w:r>
        <w:rPr>
          <w:rFonts w:ascii="Arial" w:cs="Arial" w:eastAsia="Arial" w:hAnsi="Arial"/>
          <w:color w:val="5A6B7B"/>
          <w:sz w:val="18"/>
          <w:szCs w:val="18"/>
        </w:rPr>
        <w:t xml:space="preserve"> (Risk Control 3.4(2))</w:t>
      </w:r>
    </w:p>
    <w:p>
      <w:pPr>
        <w:pStyle w:val="ListParagraph"/>
        <w:numPr>
          <w:ilvl w:val="0"/>
          <w:numId w:val="2"/>
        </w:numPr>
        <w:spacing w:after="80"/>
      </w:pPr>
      <w:r>
        <w:rPr>
          <w:rFonts w:ascii="Arial" w:cs="Arial" w:eastAsia="Arial" w:hAnsi="Arial"/>
          <w:sz w:val="21"/>
          <w:szCs w:val="21"/>
        </w:rPr>
        <w:t xml:space="preserve">Take an active part in developing the firm's risk strategy and in all material risk management decisions.</w:t>
      </w:r>
      <w:r>
        <w:rPr>
          <w:rFonts w:ascii="Arial" w:cs="Arial" w:eastAsia="Arial" w:hAnsi="Arial"/>
          <w:color w:val="5A6B7B"/>
          <w:sz w:val="18"/>
          <w:szCs w:val="18"/>
        </w:rPr>
        <w:t xml:space="preserve"> (Risk Control 3.4(2))</w:t>
      </w:r>
    </w:p>
    <w:p>
      <w:pPr>
        <w:pStyle w:val="ListParagraph"/>
        <w:numPr>
          <w:ilvl w:val="0"/>
          <w:numId w:val="2"/>
        </w:numPr>
        <w:spacing w:after="80"/>
      </w:pPr>
      <w:r>
        <w:rPr>
          <w:rFonts w:ascii="Arial" w:cs="Arial" w:eastAsia="Arial" w:hAnsi="Arial"/>
          <w:sz w:val="21"/>
          <w:szCs w:val="21"/>
        </w:rPr>
        <w:t xml:space="preserve">Give the board a complete view of the whole range of the firm's risks.</w:t>
      </w:r>
      <w:r>
        <w:rPr>
          <w:rFonts w:ascii="Arial" w:cs="Arial" w:eastAsia="Arial" w:hAnsi="Arial"/>
          <w:color w:val="5A6B7B"/>
          <w:sz w:val="18"/>
          <w:szCs w:val="18"/>
        </w:rPr>
        <w:t xml:space="preserve"> (Risk Control 3.4(2))</w:t>
      </w:r>
    </w:p>
    <w:p>
      <w:pPr>
        <w:pStyle w:val="ListParagraph"/>
        <w:numPr>
          <w:ilvl w:val="0"/>
          <w:numId w:val="2"/>
        </w:numPr>
        <w:spacing w:after="80"/>
      </w:pPr>
      <w:r>
        <w:rPr>
          <w:rFonts w:ascii="Arial" w:cs="Arial" w:eastAsia="Arial" w:hAnsi="Arial"/>
          <w:color w:val="5A6B7B"/>
          <w:sz w:val="21"/>
          <w:szCs w:val="21"/>
        </w:rPr>
        <w:t xml:space="preserve">[Firm-specific responsibilities, for example the risk appetite framework, the ICAAP and ILAAP, the recovery plan, stress testing]</w:t>
      </w:r>
    </w:p>
    <w:p>
      <w:pPr>
        <w:pStyle w:val="ListParagraph"/>
        <w:numPr>
          <w:ilvl w:val="0"/>
          <w:numId w:val="2"/>
        </w:numPr>
        <w:spacing w:after="80"/>
      </w:pPr>
      <w:r>
        <w:rPr>
          <w:rFonts w:ascii="Arial" w:cs="Arial" w:eastAsia="Arial" w:hAnsi="Arial"/>
          <w:color w:val="5A6B7B"/>
          <w:sz w:val="21"/>
          <w:szCs w:val="21"/>
        </w:rPr>
        <w:t xml:space="preserve">[Committees the CRO chairs, sits on or attends, and the decisions the CRO can escalate]</w:t>
      </w:r>
    </w:p>
    <w:p>
      <w:pPr>
        <w:pStyle w:val="Heading1"/>
        <w:spacing w:after="120" w:before="280"/>
      </w:pPr>
      <w:r>
        <w:rPr>
          <w:rFonts w:ascii="Arial" w:cs="Arial" w:eastAsia="Arial" w:hAnsi="Arial"/>
          <w:b/>
          <w:bCs/>
          <w:color w:val="003060"/>
          <w:sz w:val="30"/>
          <w:szCs w:val="30"/>
        </w:rPr>
        <w:t xml:space="preserve">6. Prescribed responsibilities</w:t>
      </w:r>
    </w:p>
    <w:p>
      <w:pPr>
        <w:spacing w:after="120" w:before="0"/>
      </w:pPr>
      <w:r>
        <w:rPr>
          <w:rFonts w:ascii="Arial" w:cs="Arial" w:eastAsia="Arial" w:hAnsi="Arial"/>
          <w:color w:val="5A6B7B"/>
          <w:sz w:val="21"/>
          <w:szCs w:val="21"/>
        </w:rPr>
        <w:t xml:space="preserve">Mark each responsibility the CRO will hold, alone or shared. Use the same wording in the statement of responsibilities.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50"/>
        <w:gridCol w:w="4300"/>
        <w:gridCol w:w="1700"/>
        <w:gridCol w:w="2288"/>
      </w:tblGrid>
      <w:tr>
        <w:trPr>
          <w:tblHeader/>
        </w:trPr>
        <w:tc>
          <w:tcPr>
            <w:tcW w:type="dxa" w:w="1350"/>
            <w:tcBorders>
              <w:top w:val="single" w:color="B8C4D0" w:sz="4"/>
              <w:left w:val="single" w:color="B8C4D0" w:sz="4"/>
              <w:bottom w:val="single" w:color="B8C4D0" w:sz="4"/>
              <w:right w:val="single" w:color="B8C4D0" w:sz="4"/>
            </w:tcBorders>
            <w:shd w:fill="003060" w:color="auto" w:val="clear"/>
            <w:tcMar>
              <w:top w:type="dxa" w:w="80"/>
              <w:left w:type="dxa" w:w="110"/>
              <w:bottom w:type="dxa" w:w="80"/>
              <w:right w:type="dxa" w:w="110"/>
            </w:tcMar>
          </w:tcPr>
          <w:p>
            <w:pPr>
              <w:spacing w:after="40"/>
            </w:pPr>
            <w:r>
              <w:rPr>
                <w:rFonts w:ascii="Arial" w:cs="Arial" w:eastAsia="Arial" w:hAnsi="Arial"/>
                <w:b/>
                <w:bCs/>
                <w:color w:val="FFFFFF"/>
                <w:sz w:val="19"/>
                <w:szCs w:val="19"/>
              </w:rPr>
              <w:t xml:space="preserve">Rule</w:t>
            </w:r>
          </w:p>
        </w:tc>
        <w:tc>
          <w:tcPr>
            <w:tcW w:type="dxa" w:w="4300"/>
            <w:tcBorders>
              <w:top w:val="single" w:color="B8C4D0" w:sz="4"/>
              <w:left w:val="single" w:color="B8C4D0" w:sz="4"/>
              <w:bottom w:val="single" w:color="B8C4D0" w:sz="4"/>
              <w:right w:val="single" w:color="B8C4D0" w:sz="4"/>
            </w:tcBorders>
            <w:shd w:fill="003060" w:color="auto" w:val="clear"/>
            <w:tcMar>
              <w:top w:type="dxa" w:w="80"/>
              <w:left w:type="dxa" w:w="110"/>
              <w:bottom w:type="dxa" w:w="80"/>
              <w:right w:type="dxa" w:w="110"/>
            </w:tcMar>
          </w:tcPr>
          <w:p>
            <w:pPr>
              <w:spacing w:after="40"/>
            </w:pPr>
            <w:r>
              <w:rPr>
                <w:rFonts w:ascii="Arial" w:cs="Arial" w:eastAsia="Arial" w:hAnsi="Arial"/>
                <w:b/>
                <w:bCs/>
                <w:color w:val="FFFFFF"/>
                <w:sz w:val="19"/>
                <w:szCs w:val="19"/>
              </w:rPr>
              <w:t xml:space="preserve">Prescribed responsibility (PRA Rulebook wording)</w:t>
            </w:r>
          </w:p>
        </w:tc>
        <w:tc>
          <w:tcPr>
            <w:tcW w:type="dxa" w:w="1700"/>
            <w:tcBorders>
              <w:top w:val="single" w:color="B8C4D0" w:sz="4"/>
              <w:left w:val="single" w:color="B8C4D0" w:sz="4"/>
              <w:bottom w:val="single" w:color="B8C4D0" w:sz="4"/>
              <w:right w:val="single" w:color="B8C4D0" w:sz="4"/>
            </w:tcBorders>
            <w:shd w:fill="003060" w:color="auto" w:val="clear"/>
            <w:tcMar>
              <w:top w:type="dxa" w:w="80"/>
              <w:left w:type="dxa" w:w="110"/>
              <w:bottom w:type="dxa" w:w="80"/>
              <w:right w:type="dxa" w:w="110"/>
            </w:tcMar>
          </w:tcPr>
          <w:p>
            <w:pPr>
              <w:spacing w:after="40"/>
            </w:pPr>
            <w:r>
              <w:rPr>
                <w:rFonts w:ascii="Arial" w:cs="Arial" w:eastAsia="Arial" w:hAnsi="Arial"/>
                <w:b/>
                <w:bCs/>
                <w:color w:val="FFFFFF"/>
                <w:sz w:val="19"/>
                <w:szCs w:val="19"/>
              </w:rPr>
              <w:t xml:space="preserve">CRO holds it?</w:t>
            </w:r>
          </w:p>
        </w:tc>
        <w:tc>
          <w:tcPr>
            <w:tcW w:type="dxa" w:w="2288"/>
            <w:tcBorders>
              <w:top w:val="single" w:color="B8C4D0" w:sz="4"/>
              <w:left w:val="single" w:color="B8C4D0" w:sz="4"/>
              <w:bottom w:val="single" w:color="B8C4D0" w:sz="4"/>
              <w:right w:val="single" w:color="B8C4D0" w:sz="4"/>
            </w:tcBorders>
            <w:shd w:fill="003060" w:color="auto" w:val="clear"/>
            <w:tcMar>
              <w:top w:type="dxa" w:w="80"/>
              <w:left w:type="dxa" w:w="110"/>
              <w:bottom w:type="dxa" w:w="80"/>
              <w:right w:type="dxa" w:w="110"/>
            </w:tcMar>
          </w:tcPr>
          <w:p>
            <w:pPr>
              <w:spacing w:after="40"/>
            </w:pPr>
            <w:r>
              <w:rPr>
                <w:rFonts w:ascii="Arial" w:cs="Arial" w:eastAsia="Arial" w:hAnsi="Arial"/>
                <w:b/>
                <w:bCs/>
                <w:color w:val="FFFFFF"/>
                <w:sz w:val="19"/>
                <w:szCs w:val="19"/>
              </w:rPr>
              <w:t xml:space="preserve">Notes for the statement</w:t>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4.1(9)</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Responsibility for the production and integrity of the firm's financial information and its regulatory reporting under the regulatory system</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[Sole / shared with / no]</w:t>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[If shared with the CFO, list the returns each holder covers (SS28/15 2.41)]</w:t>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4.1(11)</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Responsibility for managing the firm's internal stress-tests and ensuring the accuracy and timeliness of information provided to the PRA and other regulatory bodies for the purposes of stress-testing</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[Sole / shared with / no]</w:t>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4.1(10)</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Responsibility for developing and maintaining the firm's recovery plan, resolution pack and, where relevant, resolution assessment, and for overseeing the internal processes regarding their governance</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[Sole / shared with / no]</w:t>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4.1(7)</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Responsibility for managing the allocation and maintenance of the firm's capital, funding and liquidity</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[Sole / shared with / no]</w:t>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4.1(21)</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Responsibility for the firm's performance of its obligations under Outsourcing</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[Sole / shared with / no]</w:t>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[Generally expected with SMF24 where one exists (SS2/21 4.8)]</w:t>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5.2(3) (small CRR firms only)</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Responsibility for implementing and managing the firm's risk management policies and procedures</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[Sole / shared with / no]</w:t>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[Small CRR firms: gross total assets of £250 million or less]</w:t>
            </w:r>
          </w:p>
        </w:tc>
      </w:tr>
      <w:tr>
        <w:tc>
          <w:tcPr>
            <w:tcW w:type="dxa" w:w="135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[Other]</w:t>
            </w:r>
          </w:p>
        </w:tc>
        <w:tc>
          <w:tcPr>
            <w:tcW w:type="dxa" w:w="43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[Any other prescribed or overall responsibility]</w:t>
            </w:r>
          </w:p>
        </w:tc>
        <w:tc>
          <w:tcPr>
            <w:tcW w:type="dxa" w:w="17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c>
          <w:tcPr>
            <w:tcW w:type="dxa" w:w="228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bl>
    <w:p>
      <w:pPr>
        <w:spacing w:after="120" w:before="80"/>
      </w:pPr>
      <w:r>
        <w:rPr>
          <w:rFonts w:ascii="Arial" w:cs="Arial" w:eastAsia="Arial" w:hAnsi="Arial"/>
          <w:color w:val="5A6B7B"/>
          <w:sz w:val="21"/>
          <w:szCs w:val="21"/>
        </w:rPr>
        <w:t xml:space="preserve">The responsibility at Allocation of Responsibilities 4.2(2) applies only where no one performs the Chief Risk function, so it does not belong in a CRO's statement.</w:t>
      </w:r>
    </w:p>
    <w:p>
      <w:pPr>
        <w:pStyle w:val="Heading1"/>
        <w:spacing w:after="120" w:before="280"/>
      </w:pPr>
      <w:r>
        <w:rPr>
          <w:rFonts w:ascii="Arial" w:cs="Arial" w:eastAsia="Arial" w:hAnsi="Arial"/>
          <w:b/>
          <w:bCs/>
          <w:color w:val="003060"/>
          <w:sz w:val="30"/>
          <w:szCs w:val="30"/>
        </w:rPr>
        <w:t xml:space="preserve">7. Statement of responsibilities check</w:t>
      </w:r>
    </w:p>
    <w:p>
      <w:pPr>
        <w:pStyle w:val="ListParagraph"/>
        <w:numPr>
          <w:ilvl w:val="0"/>
          <w:numId w:val="3"/>
        </w:numPr>
        <w:spacing w:after="80"/>
      </w:pPr>
      <w:r>
        <w:rPr>
          <w:rFonts w:ascii="Arial" w:cs="Arial" w:eastAsia="Arial" w:hAnsi="Arial"/>
          <w:sz w:val="21"/>
          <w:szCs w:val="21"/>
        </w:rPr>
        <w:t xml:space="preserve">Each prescribed responsibility uses the Rulebook wording, in both documents.</w:t>
      </w:r>
    </w:p>
    <w:p>
      <w:pPr>
        <w:pStyle w:val="ListParagraph"/>
        <w:numPr>
          <w:ilvl w:val="0"/>
          <w:numId w:val="3"/>
        </w:numPr>
        <w:spacing w:after="80"/>
      </w:pPr>
      <w:r>
        <w:rPr>
          <w:rFonts w:ascii="Arial" w:cs="Arial" w:eastAsia="Arial" w:hAnsi="Arial"/>
          <w:sz w:val="21"/>
          <w:szCs w:val="21"/>
        </w:rPr>
        <w:t xml:space="preserve">Any shared responsibility is recorded identically in each holder's statement, with the returns or areas each covers in free text (SS28/15 2.41).</w:t>
      </w:r>
    </w:p>
    <w:p>
      <w:pPr>
        <w:pStyle w:val="ListParagraph"/>
        <w:numPr>
          <w:ilvl w:val="0"/>
          <w:numId w:val="3"/>
        </w:numPr>
        <w:spacing w:after="80"/>
      </w:pPr>
      <w:r>
        <w:rPr>
          <w:rFonts w:ascii="Arial" w:cs="Arial" w:eastAsia="Arial" w:hAnsi="Arial"/>
          <w:sz w:val="21"/>
          <w:szCs w:val="21"/>
        </w:rPr>
        <w:t xml:space="preserve">Every responsibility in the statement appears in this job description, described the same way.</w:t>
      </w:r>
    </w:p>
    <w:p>
      <w:pPr>
        <w:pStyle w:val="ListParagraph"/>
        <w:numPr>
          <w:ilvl w:val="0"/>
          <w:numId w:val="3"/>
        </w:numPr>
        <w:spacing w:after="80"/>
      </w:pPr>
      <w:r>
        <w:rPr>
          <w:rFonts w:ascii="Arial" w:cs="Arial" w:eastAsia="Arial" w:hAnsi="Arial"/>
          <w:sz w:val="21"/>
          <w:szCs w:val="21"/>
        </w:rPr>
        <w:t xml:space="preserve">The statement is complete by itself and does not refer to this job description or any other document (FCA SUP 10C.11.24G).</w:t>
      </w:r>
    </w:p>
    <w:p>
      <w:pPr>
        <w:pStyle w:val="ListParagraph"/>
        <w:numPr>
          <w:ilvl w:val="0"/>
          <w:numId w:val="3"/>
        </w:numPr>
        <w:spacing w:after="80"/>
      </w:pPr>
      <w:r>
        <w:rPr>
          <w:rFonts w:ascii="Arial" w:cs="Arial" w:eastAsia="Arial" w:hAnsi="Arial"/>
          <w:sz w:val="21"/>
          <w:szCs w:val="21"/>
        </w:rPr>
        <w:t xml:space="preserve">Free text clarifies without diluting, with 300 words as a guide (SS28/15 2.48 to 2.49).</w:t>
      </w:r>
    </w:p>
    <w:p>
      <w:pPr>
        <w:pStyle w:val="ListParagraph"/>
        <w:numPr>
          <w:ilvl w:val="0"/>
          <w:numId w:val="3"/>
        </w:numPr>
        <w:spacing w:after="80"/>
      </w:pPr>
      <w:r>
        <w:rPr>
          <w:rFonts w:ascii="Arial" w:cs="Arial" w:eastAsia="Arial" w:hAnsi="Arial"/>
          <w:sz w:val="21"/>
          <w:szCs w:val="21"/>
        </w:rPr>
        <w:t xml:space="preserve">For a part-time role, the days are stated, since the PRA measures proposed time commitment against the responsibilities allocated (SS28/15 2.46B).</w:t>
      </w:r>
    </w:p>
    <w:p>
      <w:pPr>
        <w:pStyle w:val="ListParagraph"/>
        <w:numPr>
          <w:ilvl w:val="0"/>
          <w:numId w:val="3"/>
        </w:numPr>
        <w:spacing w:after="80"/>
      </w:pPr>
      <w:r>
        <w:rPr>
          <w:rFonts w:ascii="Arial" w:cs="Arial" w:eastAsia="Arial" w:hAnsi="Arial"/>
          <w:sz w:val="21"/>
          <w:szCs w:val="21"/>
        </w:rPr>
        <w:t xml:space="preserve">The management responsibilities map shows the same reporting lines and responsibilities (Allocation of Responsibilities 7.1).</w:t>
      </w:r>
    </w:p>
    <w:p>
      <w:pPr>
        <w:pStyle w:val="Heading1"/>
        <w:spacing w:after="120" w:before="280"/>
      </w:pPr>
      <w:r>
        <w:rPr>
          <w:rFonts w:ascii="Arial" w:cs="Arial" w:eastAsia="Arial" w:hAnsi="Arial"/>
          <w:b/>
          <w:bCs/>
          <w:color w:val="003060"/>
          <w:sz w:val="30"/>
          <w:szCs w:val="30"/>
        </w:rPr>
        <w:t xml:space="preserve">8. Person specification</w:t>
      </w:r>
    </w:p>
    <w:p>
      <w:pPr>
        <w:spacing w:after="120" w:before="0"/>
      </w:pPr>
      <w:r>
        <w:rPr>
          <w:rFonts w:ascii="Arial" w:cs="Arial" w:eastAsia="Arial" w:hAnsi="Arial"/>
          <w:color w:val="5A6B7B"/>
          <w:sz w:val="21"/>
          <w:szCs w:val="21"/>
        </w:rPr>
        <w:t xml:space="preserve">Under the headings the firm will use in its fitness and propriety assessment (Fitness and Propriety 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B8C4D0" w:sz="4"/>
              <w:left w:val="single" w:color="B8C4D0" w:sz="4"/>
              <w:bottom w:val="single" w:color="B8C4D0" w:sz="4"/>
              <w:right w:val="single" w:color="B8C4D0" w:sz="4"/>
            </w:tcBorders>
            <w:shd w:fill="003060" w:color="auto" w:val="clear"/>
            <w:tcMar>
              <w:top w:type="dxa" w:w="80"/>
              <w:left w:type="dxa" w:w="110"/>
              <w:bottom w:type="dxa" w:w="80"/>
              <w:right w:type="dxa" w:w="110"/>
            </w:tcMar>
          </w:tcPr>
          <w:p>
            <w:pPr>
              <w:spacing w:after="40"/>
            </w:pPr>
            <w:r>
              <w:rPr>
                <w:rFonts w:ascii="Arial" w:cs="Arial" w:eastAsia="Arial" w:hAnsi="Arial"/>
                <w:b/>
                <w:bCs/>
                <w:color w:val="FFFFFF"/>
                <w:sz w:val="19"/>
                <w:szCs w:val="19"/>
              </w:rPr>
              <w:t xml:space="preserve">Heading</w:t>
            </w:r>
          </w:p>
        </w:tc>
        <w:tc>
          <w:tcPr>
            <w:tcW w:type="dxa" w:w="6638"/>
            <w:tcBorders>
              <w:top w:val="single" w:color="B8C4D0" w:sz="4"/>
              <w:left w:val="single" w:color="B8C4D0" w:sz="4"/>
              <w:bottom w:val="single" w:color="B8C4D0" w:sz="4"/>
              <w:right w:val="single" w:color="B8C4D0" w:sz="4"/>
            </w:tcBorders>
            <w:shd w:fill="003060" w:color="auto" w:val="clear"/>
            <w:tcMar>
              <w:top w:type="dxa" w:w="80"/>
              <w:left w:type="dxa" w:w="110"/>
              <w:bottom w:type="dxa" w:w="80"/>
              <w:right w:type="dxa" w:w="110"/>
            </w:tcMar>
          </w:tcPr>
          <w:p>
            <w:pPr>
              <w:spacing w:after="40"/>
            </w:pPr>
            <w:r>
              <w:rPr>
                <w:rFonts w:ascii="Arial" w:cs="Arial" w:eastAsia="Arial" w:hAnsi="Arial"/>
                <w:b/>
                <w:bCs/>
                <w:color w:val="FFFFFF"/>
                <w:sz w:val="19"/>
                <w:szCs w:val="19"/>
              </w:rPr>
              <w:t xml:space="preserve">What the firm is looking for</w:t>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Personal characteristics, including good repute and integrity</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Competence</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Knowledge and experience</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[Risk types led, capital and liquidity work, board reporting]</w:t>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Qualifications</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Training</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Approvals held</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[Senior management approvals held in the UK or elsewhere (SS28/15 paragraph 4.6)]</w:t>
            </w:r>
          </w:p>
        </w:tc>
      </w:tr>
      <w:tr>
        <w:tc>
          <w:tcPr>
            <w:tcW w:type="dxa" w:w="3000"/>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sz w:val="19"/>
                <w:szCs w:val="19"/>
              </w:rPr>
              <w:t xml:space="preserve">Time commitment (part-time roles)</w:t>
            </w:r>
          </w:p>
        </w:tc>
        <w:tc>
          <w:tcPr>
            <w:tcW w:type="dxa" w:w="6638"/>
            <w:tcBorders>
              <w:top w:val="single" w:color="B8C4D0" w:sz="4"/>
              <w:left w:val="single" w:color="B8C4D0" w:sz="4"/>
              <w:bottom w:val="single" w:color="B8C4D0" w:sz="4"/>
              <w:right w:val="single" w:color="B8C4D0" w:sz="4"/>
            </w:tcBorders>
            <w:tcMar>
              <w:top w:type="dxa" w:w="80"/>
              <w:left w:type="dxa" w:w="110"/>
              <w:bottom w:type="dxa" w:w="80"/>
              <w:right w:type="dxa" w:w="110"/>
            </w:tcMar>
          </w:tcPr>
          <w:p>
            <w:pPr>
              <w:spacing w:after="40"/>
            </w:pPr>
            <w:r>
              <w:rPr>
                <w:rFonts w:ascii="Arial" w:cs="Arial" w:eastAsia="Arial" w:hAnsi="Arial"/>
                <w:color w:val="5A6B7B"/>
                <w:sz w:val="21"/>
                <w:szCs w:val="21"/>
              </w:rPr>
              <w:t xml:space="preserve">[Days, availability between them and escalation route]</w:t>
            </w:r>
          </w:p>
        </w:tc>
      </w:tr>
    </w:tbl>
    <w:p>
      <w:pPr>
        <w:pStyle w:val="Heading1"/>
        <w:spacing w:after="120" w:before="280"/>
      </w:pPr>
      <w:r>
        <w:rPr>
          <w:rFonts w:ascii="Arial" w:cs="Arial" w:eastAsia="Arial" w:hAnsi="Arial"/>
          <w:b/>
          <w:bCs/>
          <w:color w:val="003060"/>
          <w:sz w:val="30"/>
          <w:szCs w:val="30"/>
        </w:rPr>
        <w:t xml:space="preserve">9. Before the application goes in</w:t>
      </w:r>
    </w:p>
    <w:p>
      <w:pPr>
        <w:pStyle w:val="ListParagraph"/>
        <w:numPr>
          <w:ilvl w:val="0"/>
          <w:numId w:val="2"/>
        </w:numPr>
        <w:spacing w:after="80"/>
      </w:pPr>
      <w:r>
        <w:rPr>
          <w:rFonts w:ascii="Arial" w:cs="Arial" w:eastAsia="Arial" w:hAnsi="Arial"/>
          <w:sz w:val="21"/>
          <w:szCs w:val="21"/>
        </w:rPr>
        <w:t xml:space="preserve">The firm is satisfied the candidate is fit and proper.</w:t>
      </w:r>
      <w:r>
        <w:rPr>
          <w:rFonts w:ascii="Arial" w:cs="Arial" w:eastAsia="Arial" w:hAnsi="Arial"/>
          <w:color w:val="5A6B7B"/>
          <w:sz w:val="18"/>
          <w:szCs w:val="18"/>
        </w:rPr>
        <w:t xml:space="preserve"> (Fitness and Propriety 2.1)</w:t>
      </w:r>
    </w:p>
    <w:p>
      <w:pPr>
        <w:pStyle w:val="ListParagraph"/>
        <w:numPr>
          <w:ilvl w:val="0"/>
          <w:numId w:val="2"/>
        </w:numPr>
        <w:spacing w:after="80"/>
      </w:pPr>
      <w:r>
        <w:rPr>
          <w:rFonts w:ascii="Arial" w:cs="Arial" w:eastAsia="Arial" w:hAnsi="Arial"/>
          <w:sz w:val="21"/>
          <w:szCs w:val="21"/>
        </w:rPr>
        <w:t xml:space="preserve">Regulatory references requested covering the past six years.</w:t>
      </w:r>
      <w:r>
        <w:rPr>
          <w:rFonts w:ascii="Arial" w:cs="Arial" w:eastAsia="Arial" w:hAnsi="Arial"/>
          <w:color w:val="5A6B7B"/>
          <w:sz w:val="18"/>
          <w:szCs w:val="18"/>
        </w:rPr>
        <w:t xml:space="preserve"> (Fitness and Propriety 2.7)</w:t>
      </w:r>
    </w:p>
    <w:p>
      <w:pPr>
        <w:pStyle w:val="ListParagraph"/>
        <w:numPr>
          <w:ilvl w:val="0"/>
          <w:numId w:val="2"/>
        </w:numPr>
        <w:spacing w:after="80"/>
      </w:pPr>
      <w:r>
        <w:rPr>
          <w:rFonts w:ascii="Arial" w:cs="Arial" w:eastAsia="Arial" w:hAnsi="Arial"/>
          <w:sz w:val="21"/>
          <w:szCs w:val="21"/>
        </w:rPr>
        <w:t xml:space="preserve">Criminal record check obtained, no more than six months old at submission.</w:t>
      </w:r>
      <w:r>
        <w:rPr>
          <w:rFonts w:ascii="Arial" w:cs="Arial" w:eastAsia="Arial" w:hAnsi="Arial"/>
          <w:color w:val="5A6B7B"/>
          <w:sz w:val="18"/>
          <w:szCs w:val="18"/>
        </w:rPr>
        <w:t xml:space="preserve"> (Fitness and Propriety 2.9; PS12/26 2.85)</w:t>
      </w:r>
    </w:p>
    <w:p>
      <w:pPr>
        <w:pStyle w:val="ListParagraph"/>
        <w:numPr>
          <w:ilvl w:val="0"/>
          <w:numId w:val="2"/>
        </w:numPr>
        <w:spacing w:after="80"/>
      </w:pPr>
      <w:r>
        <w:rPr>
          <w:rFonts w:ascii="Arial" w:cs="Arial" w:eastAsia="Arial" w:hAnsi="Arial"/>
          <w:sz w:val="21"/>
          <w:szCs w:val="21"/>
        </w:rPr>
        <w:t xml:space="preserve">Statement of responsibilities agreed with the candidate and ready to accompany the application.</w:t>
      </w:r>
      <w:r>
        <w:rPr>
          <w:rFonts w:ascii="Arial" w:cs="Arial" w:eastAsia="Arial" w:hAnsi="Arial"/>
          <w:color w:val="5A6B7B"/>
          <w:sz w:val="18"/>
          <w:szCs w:val="18"/>
        </w:rPr>
        <w:t xml:space="preserve"> (Allocation of Responsibilities 2.1)</w:t>
      </w:r>
    </w:p>
    <w:p>
      <w:pPr>
        <w:pStyle w:val="Heading1"/>
        <w:spacing w:after="120" w:before="280"/>
      </w:pPr>
      <w:r>
        <w:rPr>
          <w:rFonts w:ascii="Arial" w:cs="Arial" w:eastAsia="Arial" w:hAnsi="Arial"/>
          <w:b/>
          <w:bCs/>
          <w:color w:val="003060"/>
          <w:sz w:val="30"/>
          <w:szCs w:val="30"/>
        </w:rPr>
        <w:t xml:space="preserve">10. Contact</w:t>
      </w:r>
    </w:p>
    <w:p>
      <w:pPr>
        <w:spacing w:after="120" w:before="0"/>
      </w:pPr>
      <w:r>
        <w:rPr>
          <w:rFonts w:ascii="Arial" w:cs="Arial" w:eastAsia="Arial" w:hAnsi="Arial"/>
          <w:color w:val="5A6B7B"/>
          <w:sz w:val="21"/>
          <w:szCs w:val="21"/>
        </w:rPr>
        <w:t xml:space="preserve">[Name and role of the person managing the appointment]</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A6B7B"/>
        <w:sz w:val="16"/>
        <w:szCs w:val="16"/>
      </w:rPr>
      <w:t xml:space="preserve">RiskTAE  |  risktae.com  |  Rule references checked as at 10 October 2026  |  Page </w:t>
    </w:r>
    <w:r>
      <w:rPr>
        <w:rFonts w:ascii="Arial" w:cs="Arial" w:eastAsia="Arial" w:hAnsi="Arial"/>
        <w:color w:val="5A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risk officer job description (SMF4) template</dc:title>
  <dc:creator>RiskTAE</dc:creator>
  <dc:description>RiskTAE template for a UK bank chief risk officer job description</dc:description>
  <cp:lastModifiedBy>Un-named</cp:lastModifiedBy>
  <cp:revision>1</cp:revision>
  <dcterms:created xsi:type="dcterms:W3CDTF">2026-10-10T11:19:11.179Z</dcterms:created>
  <dcterms:modified xsi:type="dcterms:W3CDTF">2026-10-10T11:19:11.179Z</dcterms:modified>
</cp:coreProperties>
</file>

<file path=docProps/custom.xml><?xml version="1.0" encoding="utf-8"?>
<Properties xmlns="http://schemas.openxmlformats.org/officeDocument/2006/custom-properties" xmlns:vt="http://schemas.openxmlformats.org/officeDocument/2006/docPropsVTypes"/>
</file>