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color w:val="003060"/>
          <w:sz w:val="22"/>
          <w:szCs w:val="22"/>
        </w:rPr>
        <w:t xml:space="preserve">RiskTAE</w:t>
      </w:r>
    </w:p>
    <w:p>
      <w:pPr>
        <w:pStyle w:val="Title"/>
        <w:spacing w:after="120"/>
      </w:pPr>
      <w:r>
        <w:rPr>
          <w:rFonts w:ascii="Arial" w:cs="Arial" w:eastAsia="Arial" w:hAnsi="Arial"/>
        </w:rPr>
        <w:t xml:space="preserve">Wind-down plan: outline for FCA-regulated firms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This outline follows the FCA Wind-down Planning Guide (WDPG) section by section, with annexes for MIFIDPRU investment firms and for payment and e-money institutions. Each section lists what to cover and the source it answers to. Replace the prompts with your own text and complete the tables.</w:t>
      </w:r>
    </w:p>
    <w:p>
      <w:pPr>
        <w:spacing w:after="12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October 2026. Sources checked on 10 October 2026.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426"/>
      </w:tblGrid>
      <w:tr>
        <w:trPr>
          <w:tblHeader/>
        </w:trPr>
        <w:tc>
          <w:tcPr>
            <w:tcW w:type="dxa" w:w="3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Plan details</w:t>
            </w:r>
          </w:p>
        </w:tc>
        <w:tc>
          <w:tcPr>
            <w:tcW w:type="dxa" w:w="54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Complete</w:t>
            </w:r>
          </w:p>
        </w:tc>
      </w:tr>
      <w:tr>
        <w:tc>
          <w:tcPr>
            <w:tcW w:type="dxa" w:w="3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Firm name</w:t>
            </w:r>
          </w:p>
        </w:tc>
        <w:tc>
          <w:tcPr>
            <w:tcW w:type="dxa" w:w="54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Firm reference number</w:t>
            </w:r>
          </w:p>
        </w:tc>
        <w:tc>
          <w:tcPr>
            <w:tcW w:type="dxa" w:w="54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Regulated entities covered</w:t>
            </w:r>
          </w:p>
        </w:tc>
        <w:tc>
          <w:tcPr>
            <w:tcW w:type="dxa" w:w="54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Accountable owner (name and role)</w:t>
            </w:r>
          </w:p>
        </w:tc>
        <w:tc>
          <w:tcPr>
            <w:tcW w:type="dxa" w:w="54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Approved by the governing body on</w:t>
            </w:r>
          </w:p>
        </w:tc>
        <w:tc>
          <w:tcPr>
            <w:tcW w:type="dxa" w:w="54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Version</w:t>
            </w:r>
          </w:p>
        </w:tc>
        <w:tc>
          <w:tcPr>
            <w:tcW w:type="dxa" w:w="54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Next review due</w:t>
            </w:r>
          </w:p>
        </w:tc>
        <w:tc>
          <w:tcPr>
            <w:tcW w:type="dxa" w:w="54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1. Ownership and approval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Who on the governing body owns the plan, and who leads the working group that prepares it.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Which business areas took part, and how their input was gathered (for example workshops).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When the governing body approved this version, and the challenge recorded.</w:t>
      </w:r>
    </w:p>
    <w:p>
      <w:pPr>
        <w:spacing w:after="16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Source: WDPG 3.1.4, 3.2.5; WDPG App 2, App 3.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600"/>
        <w:gridCol w:w="3826"/>
      </w:tblGrid>
      <w:tr>
        <w:trPr>
          <w:tblHeader/>
        </w:trPr>
        <w:tc>
          <w:tcPr>
            <w:tcW w:type="dxa" w:w="2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Role</w:t>
            </w:r>
          </w:p>
        </w:tc>
        <w:tc>
          <w:tcPr>
            <w:tcW w:type="dxa" w:w="2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Name</w:t>
            </w:r>
          </w:p>
        </w:tc>
        <w:tc>
          <w:tcPr>
            <w:tcW w:type="dxa" w:w="38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Responsibility in the plan</w:t>
            </w:r>
          </w:p>
        </w:tc>
      </w:tr>
      <w:tr>
        <w:tc>
          <w:tcPr>
            <w:tcW w:type="dxa" w:w="2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8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8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8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8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2. Business and operating model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How the balance sheet generates profit and loss; revenue drivers, cost drivers and sources of cash.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Areas that would be hard to wind down: long notice periods, contracts with long cancellation terms.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Dependencies on group companies and third parties, and dependencies others have on the firm.</w:t>
      </w:r>
    </w:p>
    <w:p>
      <w:pPr>
        <w:spacing w:after="16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Source: WDPG App 4.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00"/>
        <w:gridCol w:w="2000"/>
        <w:gridCol w:w="2226"/>
      </w:tblGrid>
      <w:tr>
        <w:trPr>
          <w:tblHeader/>
        </w:trPr>
        <w:tc>
          <w:tcPr>
            <w:tcW w:type="dxa" w:w="24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Dependency</w:t>
            </w:r>
          </w:p>
        </w:tc>
        <w:tc>
          <w:tcPr>
            <w:tcW w:type="dxa" w:w="24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Provider (group or third party)</w:t>
            </w:r>
          </w:p>
        </w:tc>
        <w:tc>
          <w:tcPr>
            <w:tcW w:type="dxa" w:w="20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Notice or exit terms</w:t>
            </w:r>
          </w:p>
        </w:tc>
        <w:tc>
          <w:tcPr>
            <w:tcW w:type="dxa" w:w="22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Contingency</w:t>
            </w:r>
          </w:p>
        </w:tc>
      </w:tr>
      <w:tr>
        <w:tc>
          <w:tcPr>
            <w:tcW w:type="dxa" w:w="24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3. Wind-down scenarios and management information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Scenarios that would make the regulated business unviable, fast and slow moving, firm-specific and market-wide.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How reverse stress testing was used to find them.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The management information and early warning signs monitored for each scenario.</w:t>
      </w:r>
    </w:p>
    <w:p>
      <w:pPr>
        <w:spacing w:after="16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Source: WDPG 3.3, 3.4; WDPG App 5; TR22/1 paragraph 3.31.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300"/>
        <w:gridCol w:w="2000"/>
        <w:gridCol w:w="2926"/>
      </w:tblGrid>
      <w:tr>
        <w:trPr>
          <w:tblHeader/>
        </w:trPr>
        <w:tc>
          <w:tcPr>
            <w:tcW w:type="dxa" w:w="28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Scenario</w:t>
            </w:r>
          </w:p>
        </w:tc>
        <w:tc>
          <w:tcPr>
            <w:tcW w:type="dxa" w:w="13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Speed</w:t>
            </w:r>
          </w:p>
        </w:tc>
        <w:tc>
          <w:tcPr>
            <w:tcW w:type="dxa" w:w="20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Firm-specific or market-wide</w:t>
            </w:r>
          </w:p>
        </w:tc>
        <w:tc>
          <w:tcPr>
            <w:tcW w:type="dxa" w:w="29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Information monitored</w:t>
            </w:r>
          </w:p>
        </w:tc>
      </w:tr>
      <w:tr>
        <w:tc>
          <w:tcPr>
            <w:tcW w:type="dxa" w:w="28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9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9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9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4. Governance, indicators and triggers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Who makes the formal decision to wind down, and whether a parent must be consulted.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Quantitative triggers worked back from the resources the wind-down needs, linked to risk appetite.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The reporting line that gets the information to senior management and the governing body without delay.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When and how the FCA is told.</w:t>
      </w:r>
    </w:p>
    <w:p>
      <w:pPr>
        <w:spacing w:after="16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Source: WDPG 3.5, 3.5.8; WDPG App 6; TR22/1 paragraphs 3.29 to 3.31.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1700"/>
        <w:gridCol w:w="1700"/>
        <w:gridCol w:w="1700"/>
        <w:gridCol w:w="2026"/>
      </w:tblGrid>
      <w:tr>
        <w:trPr>
          <w:tblHeader/>
        </w:trPr>
        <w:tc>
          <w:tcPr>
            <w:tcW w:type="dxa" w:w="19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Metric</w:t>
            </w:r>
          </w:p>
        </w:tc>
        <w:tc>
          <w:tcPr>
            <w:tcW w:type="dxa" w:w="17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Risk appetite limit</w:t>
            </w:r>
          </w:p>
        </w:tc>
        <w:tc>
          <w:tcPr>
            <w:tcW w:type="dxa" w:w="17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Early warning</w:t>
            </w:r>
          </w:p>
        </w:tc>
        <w:tc>
          <w:tcPr>
            <w:tcW w:type="dxa" w:w="17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Wind-down trigger</w:t>
            </w:r>
          </w:p>
        </w:tc>
        <w:tc>
          <w:tcPr>
            <w:tcW w:type="dxa" w:w="20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Resources it protects</w:t>
            </w:r>
          </w:p>
        </w:tc>
      </w:tr>
      <w:tr>
        <w:tc>
          <w:tcPr>
            <w:tcW w:type="dxa" w:w="19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9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9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9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5. Impact assessment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Customers and counterparties: how many, how transactions are closed, how customers are moved to other providers.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Market impact, employees to retain, landlords, creditors and other third parties.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Consumer Duty or the duty to treat customers fairly continues during the wind-down, including vulnerable customers.</w:t>
      </w:r>
    </w:p>
    <w:p>
      <w:pPr>
        <w:spacing w:after="16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Source: WDPG 3.6 (3.6.2 updated 26 June 2026); WDPG App 7.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500"/>
        <w:gridCol w:w="2700"/>
        <w:gridCol w:w="1526"/>
      </w:tblGrid>
      <w:tr>
        <w:trPr>
          <w:tblHeader/>
        </w:trPr>
        <w:tc>
          <w:tcPr>
            <w:tcW w:type="dxa" w:w="23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Stakeholder group</w:t>
            </w:r>
          </w:p>
        </w:tc>
        <w:tc>
          <w:tcPr>
            <w:tcW w:type="dxa" w:w="25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Likely impact</w:t>
            </w:r>
          </w:p>
        </w:tc>
        <w:tc>
          <w:tcPr>
            <w:tcW w:type="dxa" w:w="27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Mitigation</w:t>
            </w:r>
          </w:p>
        </w:tc>
        <w:tc>
          <w:tcPr>
            <w:tcW w:type="dxa" w:w="15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Owner</w:t>
            </w:r>
          </w:p>
        </w:tc>
      </w:tr>
      <w:tr>
        <w:tc>
          <w:tcPr>
            <w:tcW w:type="dxa" w:w="23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3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3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3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3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6. Operational analysis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The sequence of actions from the decision to wind down to the cancellation of the Part 4A permission.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Client records and the return of client money and assets; complaints; redundancies and retention; systems; advisers.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Overseas offices and branches, if any.</w:t>
      </w:r>
    </w:p>
    <w:p>
      <w:pPr>
        <w:spacing w:after="16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Source: WDPG 3.7; WDPG App 8.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500"/>
        <w:gridCol w:w="1200"/>
        <w:gridCol w:w="1500"/>
        <w:gridCol w:w="2026"/>
      </w:tblGrid>
      <w:tr>
        <w:trPr>
          <w:tblHeader/>
        </w:trPr>
        <w:tc>
          <w:tcPr>
            <w:tcW w:type="dxa" w:w="28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Step</w:t>
            </w:r>
          </w:p>
        </w:tc>
        <w:tc>
          <w:tcPr>
            <w:tcW w:type="dxa" w:w="15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Start (weeks after decision)</w:t>
            </w:r>
          </w:p>
        </w:tc>
        <w:tc>
          <w:tcPr>
            <w:tcW w:type="dxa" w:w="12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Duration</w:t>
            </w:r>
          </w:p>
        </w:tc>
        <w:tc>
          <w:tcPr>
            <w:tcW w:type="dxa" w:w="15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Owner</w:t>
            </w:r>
          </w:p>
        </w:tc>
        <w:tc>
          <w:tcPr>
            <w:tcW w:type="dxa" w:w="20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Depends on</w:t>
            </w:r>
          </w:p>
        </w:tc>
      </w:tr>
      <w:tr>
        <w:tc>
          <w:tcPr>
            <w:tcW w:type="dxa" w:w="28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7. Time and costs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Revenue still expected from existing clients, conservatively estimated; no new clients after the decision.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Ordinary outflows, and extraordinary ones: legal, professional and insolvency practitioner fees, redundancy and retention, pension deficits, lease and termination penalties.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A month-by-month schedule for the whole period; daily and weekly detail at the start, where mismatches peak.</w:t>
      </w:r>
    </w:p>
    <w:p>
      <w:pPr>
        <w:spacing w:after="16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Source: WDPG 3.5.4, 3.8.7; WDPG App 9; TR22/1 paragraphs 3.6 and 3.16.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26"/>
        <w:gridCol w:w="1440"/>
        <w:gridCol w:w="1440"/>
        <w:gridCol w:w="1440"/>
        <w:gridCol w:w="1440"/>
        <w:gridCol w:w="1440"/>
      </w:tblGrid>
      <w:tr>
        <w:trPr>
          <w:tblHeader/>
        </w:trPr>
        <w:tc>
          <w:tcPr>
            <w:tcW w:type="dxa" w:w="18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Period</w:t>
            </w:r>
          </w:p>
        </w:tc>
        <w:tc>
          <w:tcPr>
            <w:tcW w:type="dxa" w:w="144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Inflows</w:t>
            </w:r>
          </w:p>
        </w:tc>
        <w:tc>
          <w:tcPr>
            <w:tcW w:type="dxa" w:w="144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Ordinary outflows</w:t>
            </w:r>
          </w:p>
        </w:tc>
        <w:tc>
          <w:tcPr>
            <w:tcW w:type="dxa" w:w="144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Wind-down outflows</w:t>
            </w:r>
          </w:p>
        </w:tc>
        <w:tc>
          <w:tcPr>
            <w:tcW w:type="dxa" w:w="144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Net cash</w:t>
            </w:r>
          </w:p>
        </w:tc>
        <w:tc>
          <w:tcPr>
            <w:tcW w:type="dxa" w:w="144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Closing cash</w:t>
            </w:r>
          </w:p>
        </w:tc>
      </w:tr>
      <w:tr>
        <w:tc>
          <w:tcPr>
            <w:tcW w:type="dxa" w:w="18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Weeks 1 to 2 (daily)</w:t>
            </w:r>
          </w:p>
        </w:tc>
        <w:tc>
          <w:tcPr>
            <w:tcW w:type="dxa" w:w="144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8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Week 3 to end of month 3 (weekly)</w:t>
            </w:r>
          </w:p>
        </w:tc>
        <w:tc>
          <w:tcPr>
            <w:tcW w:type="dxa" w:w="144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8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Month 4</w:t>
            </w:r>
          </w:p>
        </w:tc>
        <w:tc>
          <w:tcPr>
            <w:tcW w:type="dxa" w:w="144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8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Month 5</w:t>
            </w:r>
          </w:p>
        </w:tc>
        <w:tc>
          <w:tcPr>
            <w:tcW w:type="dxa" w:w="144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8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Month 6</w:t>
            </w:r>
          </w:p>
        </w:tc>
        <w:tc>
          <w:tcPr>
            <w:tcW w:type="dxa" w:w="144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8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Later months</w:t>
            </w:r>
          </w:p>
        </w:tc>
        <w:tc>
          <w:tcPr>
            <w:tcW w:type="dxa" w:w="144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8. Resource assessment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Cash to meet each month's expenses, not only capital adequacy.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Non-financial resources: premises, IT, key employees, external advisers, outsourced services, group support.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Whether resources would still be there if the group itself failed.</w:t>
      </w:r>
    </w:p>
    <w:p>
      <w:pPr>
        <w:spacing w:after="16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Source: WDPG 3.8.2 to 3.8.8; WDPG App 10.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600"/>
        <w:gridCol w:w="1800"/>
        <w:gridCol w:w="1300"/>
        <w:gridCol w:w="2126"/>
      </w:tblGrid>
      <w:tr>
        <w:trPr>
          <w:tblHeader/>
        </w:trPr>
        <w:tc>
          <w:tcPr>
            <w:tcW w:type="dxa" w:w="22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Resource</w:t>
            </w:r>
          </w:p>
        </w:tc>
        <w:tc>
          <w:tcPr>
            <w:tcW w:type="dxa" w:w="1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Needed</w:t>
            </w:r>
          </w:p>
        </w:tc>
        <w:tc>
          <w:tcPr>
            <w:tcW w:type="dxa" w:w="18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Held or contracted</w:t>
            </w:r>
          </w:p>
        </w:tc>
        <w:tc>
          <w:tcPr>
            <w:tcW w:type="dxa" w:w="13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Gap</w:t>
            </w:r>
          </w:p>
        </w:tc>
        <w:tc>
          <w:tcPr>
            <w:tcW w:type="dxa" w:w="21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Action</w:t>
            </w:r>
          </w:p>
        </w:tc>
      </w:tr>
      <w:tr>
        <w:tc>
          <w:tcPr>
            <w:tcW w:type="dxa" w:w="22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1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1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1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1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1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9. Special considerations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Client money and custody assets, and the CASS rules that apply, including any CASS resolution pack.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The communications plan: stakeholders, who engages them, approval of messages, holding statements.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Group and overseas issues: intragroup transactions, support during wind-down, closure of branches.</w:t>
      </w:r>
    </w:p>
    <w:p>
      <w:pPr>
        <w:spacing w:after="16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Source: WDPG 4.1 to 4.5; WDPG App 11.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10. Cancellation of permission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Before cancelling, the FCA will look at: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Whether cancelling would harm customers or disrupt markets.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Any long-term commitments and the arrangements for them.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Complaints resolved, or provided for.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Client money and assets returned under CASS.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FCA fees paid.</w:t>
      </w:r>
    </w:p>
    <w:p>
      <w:pPr>
        <w:spacing w:after="16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Source: WDPG 3.9.1.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11. Testing, review and approval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How the plan was tested and what changed as a result.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Review timetable: at least annually and after a material change in the business or operating model.</w:t>
      </w:r>
    </w:p>
    <w:p>
      <w:pPr>
        <w:spacing w:after="16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Source: WDPG 3.1.5; WDPG App 12; TR22/1 paragraph 1.4; MIFIDPRU 7.8.2R; Approach Document paragraph 3.75.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500"/>
        <w:gridCol w:w="2700"/>
        <w:gridCol w:w="2326"/>
      </w:tblGrid>
      <w:tr>
        <w:trPr>
          <w:tblHeader/>
        </w:trPr>
        <w:tc>
          <w:tcPr>
            <w:tcW w:type="dxa" w:w="15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Date</w:t>
            </w:r>
          </w:p>
        </w:tc>
        <w:tc>
          <w:tcPr>
            <w:tcW w:type="dxa" w:w="25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Type of test or review</w:t>
            </w:r>
          </w:p>
        </w:tc>
        <w:tc>
          <w:tcPr>
            <w:tcW w:type="dxa" w:w="27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Findings</w:t>
            </w:r>
          </w:p>
        </w:tc>
        <w:tc>
          <w:tcPr>
            <w:tcW w:type="dxa" w:w="23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Changes made</w:t>
            </w:r>
          </w:p>
        </w:tc>
      </w:tr>
      <w:tr>
        <w:tc>
          <w:tcPr>
            <w:tcW w:type="dxa" w:w="15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3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3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3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3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Annex A. MIFIDPRU investment firms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Steps and resources for an orderly wind-down in a realistic timescale, and the harms it could cause (MIFIDPRU 7.5.7R).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Own funds and liquid assets needed for wind-down, no lower than the fixed overheads requirement and the basic liquid assets requirement (MIFIDPRU 7.5.9R); any extra liquid assets to fund the early stages (MIFIDPRU 7.7.5G).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Wind-down triggers: own funds (the fixed overheads requirement unless the FCA sets another amount) and liquid assets (the basic liquid assets requirement) (FCA Glossary; MIFIDPRU 7.7.17G).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Consistency with the harms assessment, the recovery actions and the point at which no further recovery is feasible (MIFIDPRU 7.4.12G).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The wind-down overview in the ICARA document: actions, timelines and key assumptions (MIFIDPRU 7.8.7R).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In a group ICARA, a separate plan for each MIFIDPRU firm, with triggers applied individually (MIFIDPRU 7.9.5R).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400"/>
        <w:gridCol w:w="3426"/>
      </w:tblGrid>
      <w:tr>
        <w:trPr>
          <w:tblHeader/>
        </w:trPr>
        <w:tc>
          <w:tcPr>
            <w:tcW w:type="dxa" w:w="32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24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Amount or level</w:t>
            </w:r>
          </w:p>
        </w:tc>
        <w:tc>
          <w:tcPr>
            <w:tcW w:type="dxa" w:w="34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Basis</w:t>
            </w:r>
          </w:p>
        </w:tc>
      </w:tr>
      <w:tr>
        <w:tc>
          <w:tcPr>
            <w:tcW w:type="dxa" w:w="32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Own funds needed for orderly wind-down</w:t>
            </w:r>
          </w:p>
        </w:tc>
        <w:tc>
          <w:tcPr>
            <w:tcW w:type="dxa" w:w="24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4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Liquid assets needed for orderly wind-down</w:t>
            </w:r>
          </w:p>
        </w:tc>
        <w:tc>
          <w:tcPr>
            <w:tcW w:type="dxa" w:w="24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4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Own funds wind-down trigger</w:t>
            </w:r>
          </w:p>
        </w:tc>
        <w:tc>
          <w:tcPr>
            <w:tcW w:type="dxa" w:w="24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4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Liquid assets wind-down trigger</w:t>
            </w:r>
          </w:p>
        </w:tc>
        <w:tc>
          <w:tcPr>
            <w:tcW w:type="dxa" w:w="24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4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Early warning indicator (own funds)</w:t>
            </w:r>
          </w:p>
        </w:tc>
        <w:tc>
          <w:tcPr>
            <w:tcW w:type="dxa" w:w="24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4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Annex B. Payment and e-money institutions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The FCA expects a wind-down plan to include or address each item below (Approach Document, version 8, May 2026, paragraph 3.73).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2600"/>
        <w:gridCol w:w="1826"/>
      </w:tblGrid>
      <w:tr>
        <w:trPr>
          <w:tblHeader/>
        </w:trPr>
        <w:tc>
          <w:tcPr>
            <w:tcW w:type="dxa" w:w="4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2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Where the plan covers it</w:t>
            </w:r>
          </w:p>
        </w:tc>
        <w:tc>
          <w:tcPr>
            <w:tcW w:type="dxa" w:w="18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shd w:fill="00306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Status</w:t>
            </w:r>
          </w:p>
        </w:tc>
      </w:tr>
      <w:tr>
        <w:tc>
          <w:tcPr>
            <w:tcW w:type="dxa" w:w="4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Detailed information to identify customer funds and the customers they are held for, and return them promptly</w:t>
            </w:r>
          </w:p>
        </w:tc>
        <w:tc>
          <w:tcPr>
            <w:tcW w:type="dxa" w:w="2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Funding to cover the wind-down, including the return of all customer funds</w:t>
            </w:r>
          </w:p>
        </w:tc>
        <w:tc>
          <w:tcPr>
            <w:tcW w:type="dxa" w:w="2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Realistic triggers to start a wind-down, and a strategy for monitoring them</w:t>
            </w:r>
          </w:p>
        </w:tc>
        <w:tc>
          <w:tcPr>
            <w:tcW w:type="dxa" w:w="2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Operational resilience and cyber controls during the wind-down period</w:t>
            </w:r>
          </w:p>
        </w:tc>
        <w:tc>
          <w:tcPr>
            <w:tcW w:type="dxa" w:w="2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The need for counterparties, such as merchants and customers, to find alternative providers</w:t>
            </w:r>
          </w:p>
        </w:tc>
        <w:tc>
          <w:tcPr>
            <w:tcW w:type="dxa" w:w="2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Termination of all products and services</w:t>
            </w:r>
          </w:p>
        </w:tc>
        <w:tc>
          <w:tcPr>
            <w:tcW w:type="dxa" w:w="2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Wind-down or other arrangements for subsidiaries or affiliates relevant to the regulated activity</w:t>
            </w:r>
          </w:p>
        </w:tc>
        <w:tc>
          <w:tcPr>
            <w:tcW w:type="dxa" w:w="2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Non-financial resources, such as people and co-operation from third parties</w:t>
            </w:r>
          </w:p>
        </w:tc>
        <w:tc>
          <w:tcPr>
            <w:tcW w:type="dxa" w:w="2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 stakeholder communication plan</w:t>
            </w:r>
          </w:p>
        </w:tc>
        <w:tc>
          <w:tcPr>
            <w:tcW w:type="dxa" w:w="2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Realistic triggers to seek advice on entering an insolvency process, and a strategy for monitoring them</w:t>
            </w:r>
          </w:p>
        </w:tc>
        <w:tc>
          <w:tcPr>
            <w:tcW w:type="dxa" w:w="2600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26"/>
            <w:tcBorders>
              <w:top w:val="single" w:color="A6B4C8" w:sz="4"/>
              <w:left w:val="single" w:color="A6B4C8" w:sz="4"/>
              <w:bottom w:val="single" w:color="A6B4C8" w:sz="4"/>
              <w:right w:val="single" w:color="A6B4C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Safeguarding institutions must also keep a CASS resolution pack, with each document retrievable within 48 hours of an insolvency practitioner's appointment or of a decision or regulator's request to retrieve it (CASS 10A.1.7R, in force since 7 May 2026).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FCA Handbook, Wind-down Planning Guide (WDPG) chapters 1 to 4 and App 1 to App 12 (WDPG 3 updated 26 June 2026).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FCA Handbook, MIFIDPRU 7 (ICARA process) and FCA Glossary.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FCA Handbook, CASS 10A Payment services and electronic money: resolution pack (updated 7 May 2026).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FCA, Payment Services and Electronic Money: Our Approach, version 8, May 2026, paragraphs 3.73 to 3.76.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FCA, TR22/1 Observations on wind-down planning: liquidity, triggers and intragroup dependencies, 11 April 2022.</w:t>
      </w:r>
    </w:p>
    <w:p>
      <w:pPr>
        <w:spacing w:after="12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RiskTAE is a specialist risk consulting firm based in London: advisory and consulting, executive search, training and the RisKIT prudential models, for banks and financial services firms in the UK and worldwide. risktae.com</w:t>
      </w:r>
    </w:p>
    <w:sectPr>
      <w:headerReference w:type="default" r:id="rId7"/>
      <w:footerReference w:type="default" r:id="rId8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Page </w:t>
    </w:r>
    <w:r>
      <w:rPr>
        <w:rFonts w:ascii="Arial" w:cs="Arial" w:eastAsia="Arial" w:hAnsi="Arial"/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003060"/>
        <w:sz w:val="16"/>
        <w:szCs w:val="16"/>
      </w:rPr>
      <w:t xml:space="preserve">RiskTAE  |  Wind-down plan outline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003060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60" w:before="360"/>
      <w:outlineLvl w:val="0"/>
    </w:pPr>
    <w:rPr>
      <w:rFonts w:ascii="Arial" w:cs="Arial" w:eastAsia="Arial" w:hAnsi="Arial"/>
      <w:b/>
      <w:bCs/>
      <w:color w:val="003060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00306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Wind-down plan: outline for FCA-regulated firms</dc:title>
  <dc:creator>RiskTAE</dc:creator>
  <cp:lastModifiedBy>Un-named</cp:lastModifiedBy>
  <cp:revision>1</cp:revision>
  <dcterms:created xsi:type="dcterms:W3CDTF">2026-10-10T11:27:07.348Z</dcterms:created>
  <dcterms:modified xsi:type="dcterms:W3CDTF">2026-10-10T11:27:07.349Z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